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F" w:rsidRPr="00176A60" w:rsidRDefault="00B912BF" w:rsidP="00B912BF">
      <w:pPr>
        <w:spacing w:after="120"/>
        <w:jc w:val="center"/>
        <w:rPr>
          <w:b/>
          <w:bCs/>
          <w:szCs w:val="28"/>
          <w:lang w:val="uk-UA"/>
        </w:rPr>
      </w:pPr>
      <w:r w:rsidRPr="00176A60">
        <w:rPr>
          <w:b/>
          <w:bCs/>
          <w:szCs w:val="28"/>
          <w:lang w:val="uk-UA"/>
        </w:rPr>
        <w:t>Анотація до програми</w:t>
      </w:r>
    </w:p>
    <w:p w:rsidR="00B912BF" w:rsidRPr="00176A60" w:rsidRDefault="00B912BF" w:rsidP="00B912BF">
      <w:pPr>
        <w:ind w:firstLine="709"/>
        <w:jc w:val="center"/>
        <w:rPr>
          <w:szCs w:val="28"/>
          <w:lang w:val="uk-UA"/>
        </w:rPr>
      </w:pPr>
      <w:r w:rsidRPr="00176A60">
        <w:rPr>
          <w:b/>
          <w:bCs/>
          <w:szCs w:val="28"/>
          <w:lang w:val="uk-UA"/>
        </w:rPr>
        <w:t>«Навчання тренерів педагогів-супервізорів»</w:t>
      </w:r>
    </w:p>
    <w:p w:rsidR="00B912BF" w:rsidRPr="00176A60" w:rsidRDefault="00B912BF" w:rsidP="00B912BF">
      <w:pPr>
        <w:tabs>
          <w:tab w:val="left" w:pos="14580"/>
        </w:tabs>
        <w:ind w:right="60" w:firstLine="709"/>
        <w:jc w:val="both"/>
        <w:outlineLvl w:val="0"/>
        <w:rPr>
          <w:szCs w:val="28"/>
          <w:lang w:val="uk-UA"/>
        </w:rPr>
      </w:pPr>
      <w:r w:rsidRPr="00176A60">
        <w:rPr>
          <w:b/>
          <w:szCs w:val="28"/>
          <w:lang w:val="uk-UA"/>
        </w:rPr>
        <w:t>Актуальність програми</w:t>
      </w:r>
      <w:r w:rsidRPr="00176A60">
        <w:rPr>
          <w:szCs w:val="28"/>
          <w:lang w:val="uk-UA"/>
        </w:rPr>
        <w:t xml:space="preserve"> </w:t>
      </w:r>
      <w:r w:rsidRPr="00176A60">
        <w:rPr>
          <w:iCs/>
          <w:szCs w:val="28"/>
          <w:lang w:val="uk-UA"/>
        </w:rPr>
        <w:t>визначається</w:t>
      </w:r>
      <w:r w:rsidRPr="00176A60">
        <w:rPr>
          <w:i/>
          <w:iCs/>
          <w:szCs w:val="28"/>
          <w:lang w:val="uk-UA"/>
        </w:rPr>
        <w:t>:</w:t>
      </w:r>
    </w:p>
    <w:p w:rsidR="00B912BF" w:rsidRPr="00176A60" w:rsidRDefault="00B912BF" w:rsidP="00B912BF">
      <w:pPr>
        <w:numPr>
          <w:ilvl w:val="0"/>
          <w:numId w:val="1"/>
        </w:numPr>
        <w:tabs>
          <w:tab w:val="left" w:pos="14580"/>
        </w:tabs>
        <w:ind w:left="0" w:right="16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необхідністю підтримки вчителів та керівників закладів загальної середньої освіти в умовах впровадження концепції «Нова українська школа»;</w:t>
      </w:r>
    </w:p>
    <w:p w:rsidR="00B912BF" w:rsidRPr="00176A60" w:rsidRDefault="00B912BF" w:rsidP="00B912BF">
      <w:pPr>
        <w:numPr>
          <w:ilvl w:val="0"/>
          <w:numId w:val="1"/>
        </w:numPr>
        <w:tabs>
          <w:tab w:val="left" w:pos="14580"/>
        </w:tabs>
        <w:ind w:left="0" w:right="16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 xml:space="preserve">потребою у підготовці нової категорії педагогічних кадрів - педагогів-тренерів, які будуть проводити </w:t>
      </w:r>
      <w:proofErr w:type="spellStart"/>
      <w:r w:rsidRPr="00176A60">
        <w:rPr>
          <w:szCs w:val="28"/>
          <w:lang w:val="uk-UA"/>
        </w:rPr>
        <w:t>супервізію</w:t>
      </w:r>
      <w:proofErr w:type="spellEnd"/>
      <w:r w:rsidRPr="00176A60">
        <w:rPr>
          <w:szCs w:val="28"/>
          <w:lang w:val="uk-UA"/>
        </w:rPr>
        <w:t>;</w:t>
      </w:r>
    </w:p>
    <w:p w:rsidR="00B912BF" w:rsidRPr="00176A60" w:rsidRDefault="00B912BF" w:rsidP="00B912BF">
      <w:pPr>
        <w:numPr>
          <w:ilvl w:val="0"/>
          <w:numId w:val="1"/>
        </w:numPr>
        <w:tabs>
          <w:tab w:val="left" w:pos="14580"/>
        </w:tabs>
        <w:ind w:left="0" w:right="16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важливістю підготовки тренерів, здатних здійснити навчання педагогів-супервізорів;</w:t>
      </w:r>
    </w:p>
    <w:p w:rsidR="00B912BF" w:rsidRPr="00176A60" w:rsidRDefault="00B912BF" w:rsidP="00B912BF">
      <w:pPr>
        <w:numPr>
          <w:ilvl w:val="0"/>
          <w:numId w:val="1"/>
        </w:numPr>
        <w:tabs>
          <w:tab w:val="left" w:pos="14580"/>
        </w:tabs>
        <w:ind w:left="0" w:right="16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 xml:space="preserve">необхідністю професійної підтримки та розвитку готовності педагога до постійного професійного розвитку, потреби в актуалізації і реалізації особистого потенціалу вчителя, здатності до самостійного опанування сучасних знань та розвитку професійних </w:t>
      </w:r>
      <w:proofErr w:type="spellStart"/>
      <w:r w:rsidRPr="00176A60">
        <w:rPr>
          <w:szCs w:val="28"/>
          <w:lang w:val="uk-UA"/>
        </w:rPr>
        <w:t>компетентностей</w:t>
      </w:r>
      <w:proofErr w:type="spellEnd"/>
      <w:r w:rsidRPr="00176A60">
        <w:rPr>
          <w:szCs w:val="28"/>
          <w:lang w:val="uk-UA"/>
        </w:rPr>
        <w:t>;</w:t>
      </w:r>
    </w:p>
    <w:p w:rsidR="00B912BF" w:rsidRPr="00176A60" w:rsidRDefault="00B912BF" w:rsidP="00B912BF">
      <w:pPr>
        <w:numPr>
          <w:ilvl w:val="0"/>
          <w:numId w:val="1"/>
        </w:numPr>
        <w:tabs>
          <w:tab w:val="left" w:pos="14580"/>
        </w:tabs>
        <w:spacing w:line="288" w:lineRule="auto"/>
        <w:ind w:left="0" w:right="16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важливістю створення психолого-педагогічних умов для безперервного навчання вчителів, розвитку їх інноваційності, здатності розуміти і діяти відповідно до викликів часу.</w:t>
      </w:r>
    </w:p>
    <w:p w:rsidR="00B912BF" w:rsidRPr="00176A60" w:rsidRDefault="00B912BF" w:rsidP="00B912BF">
      <w:pPr>
        <w:tabs>
          <w:tab w:val="left" w:pos="14580"/>
        </w:tabs>
        <w:spacing w:line="288" w:lineRule="auto"/>
        <w:ind w:right="16" w:firstLine="709"/>
        <w:jc w:val="both"/>
        <w:rPr>
          <w:szCs w:val="28"/>
          <w:lang w:val="uk-UA"/>
        </w:rPr>
      </w:pPr>
      <w:r w:rsidRPr="00176A60">
        <w:rPr>
          <w:b/>
          <w:szCs w:val="28"/>
          <w:lang w:val="uk-UA"/>
        </w:rPr>
        <w:t>Метою</w:t>
      </w:r>
      <w:r w:rsidRPr="00176A60">
        <w:rPr>
          <w:szCs w:val="28"/>
          <w:lang w:val="uk-UA"/>
        </w:rPr>
        <w:t xml:space="preserve"> програми є удосконалення професійної компетентності тренерів-педагогів та підготовки їх до проведення </w:t>
      </w:r>
      <w:proofErr w:type="spellStart"/>
      <w:r w:rsidRPr="00176A60">
        <w:rPr>
          <w:szCs w:val="28"/>
          <w:lang w:val="uk-UA"/>
        </w:rPr>
        <w:t>супервізії</w:t>
      </w:r>
      <w:proofErr w:type="spellEnd"/>
      <w:r w:rsidRPr="00176A60">
        <w:rPr>
          <w:szCs w:val="28"/>
          <w:lang w:val="uk-UA"/>
        </w:rPr>
        <w:t xml:space="preserve">, що зумовило її спрямованість на розв’язання наступних </w:t>
      </w:r>
      <w:r w:rsidRPr="00176A60">
        <w:rPr>
          <w:b/>
          <w:szCs w:val="28"/>
          <w:lang w:val="uk-UA"/>
        </w:rPr>
        <w:t>завдань</w:t>
      </w:r>
      <w:r w:rsidRPr="00176A60">
        <w:rPr>
          <w:szCs w:val="28"/>
          <w:lang w:val="uk-UA"/>
        </w:rPr>
        <w:t>:</w:t>
      </w:r>
    </w:p>
    <w:p w:rsidR="00B912BF" w:rsidRPr="00176A60" w:rsidRDefault="00B912BF" w:rsidP="00B912BF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визначити ролі і завдання супервізорів у процесі впровадження концепції Нової української школи;</w:t>
      </w:r>
    </w:p>
    <w:p w:rsidR="00B912BF" w:rsidRPr="00176A60" w:rsidRDefault="00B912BF" w:rsidP="00B912BF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удосконалити навички активного слухання педагогів-тренерів;</w:t>
      </w:r>
    </w:p>
    <w:p w:rsidR="00B912BF" w:rsidRPr="00176A60" w:rsidRDefault="00B912BF" w:rsidP="00B912BF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розглянути основні види наставницької бесіди та удосконалити навички з їх проведення;</w:t>
      </w:r>
    </w:p>
    <w:p w:rsidR="00B912BF" w:rsidRPr="00176A60" w:rsidRDefault="00B912BF" w:rsidP="00B912BF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ознайомити зі складовими якісної викладацької практики та інструментами для спостереження;</w:t>
      </w:r>
    </w:p>
    <w:p w:rsidR="00B912BF" w:rsidRPr="00176A60" w:rsidRDefault="00B912BF" w:rsidP="00B912BF">
      <w:pPr>
        <w:pStyle w:val="a3"/>
        <w:numPr>
          <w:ilvl w:val="0"/>
          <w:numId w:val="3"/>
        </w:numPr>
        <w:tabs>
          <w:tab w:val="left" w:pos="0"/>
          <w:tab w:val="left" w:pos="720"/>
        </w:tabs>
        <w:spacing w:line="288" w:lineRule="auto"/>
        <w:ind w:left="0"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спланувати роботу супервізорів (наставників) в рамках підтримки вчителів, які впроваджують концепцію НУШ.</w:t>
      </w:r>
    </w:p>
    <w:p w:rsidR="00B912BF" w:rsidRPr="00176A60" w:rsidRDefault="00B912BF" w:rsidP="00B912BF">
      <w:pPr>
        <w:spacing w:line="288" w:lineRule="auto"/>
        <w:ind w:firstLine="709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 xml:space="preserve">При укладанні навчально-тематичного плану враховано особливості навчання дорослих. Визначено перелік навчальних модулів, розподіл навчальних годин, форму організації навчання. 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Відповідно до змісту у структурі навчально-тематичного плану визначено 5 модулів (60 годин/2 кредити): «</w:t>
      </w:r>
      <w:proofErr w:type="spellStart"/>
      <w:r w:rsidRPr="00176A60">
        <w:rPr>
          <w:szCs w:val="28"/>
          <w:lang w:val="uk-UA"/>
        </w:rPr>
        <w:t>Супервізія</w:t>
      </w:r>
      <w:proofErr w:type="spellEnd"/>
      <w:r w:rsidRPr="00176A60">
        <w:rPr>
          <w:szCs w:val="28"/>
          <w:lang w:val="uk-UA"/>
        </w:rPr>
        <w:t xml:space="preserve"> в педагогічній практиці», «Особистість та навички наставника», «Робочий процес наставництва», «Інсталяція роботи супервізора», «Методичні аспекти навчання педагогів-супервізорів».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Модуль «</w:t>
      </w:r>
      <w:proofErr w:type="spellStart"/>
      <w:r w:rsidRPr="00176A60">
        <w:rPr>
          <w:szCs w:val="28"/>
          <w:lang w:val="uk-UA"/>
        </w:rPr>
        <w:t>Супервізія</w:t>
      </w:r>
      <w:proofErr w:type="spellEnd"/>
      <w:r w:rsidRPr="00176A60">
        <w:rPr>
          <w:szCs w:val="28"/>
          <w:lang w:val="uk-UA"/>
        </w:rPr>
        <w:t xml:space="preserve"> в педагогічній практиці» (12 годин) містить навчальні міні-модулі, зміст яких спрямований на визначення сутності поняття «</w:t>
      </w:r>
      <w:proofErr w:type="spellStart"/>
      <w:r w:rsidRPr="00176A60">
        <w:rPr>
          <w:szCs w:val="28"/>
          <w:lang w:val="uk-UA"/>
        </w:rPr>
        <w:t>супервізія</w:t>
      </w:r>
      <w:proofErr w:type="spellEnd"/>
      <w:r w:rsidRPr="00176A60">
        <w:rPr>
          <w:szCs w:val="28"/>
          <w:lang w:val="uk-UA"/>
        </w:rPr>
        <w:t xml:space="preserve">», розуміння питань якості викладання, умов, за яких </w:t>
      </w:r>
      <w:r w:rsidRPr="00176A60">
        <w:rPr>
          <w:szCs w:val="28"/>
          <w:lang w:val="uk-UA"/>
        </w:rPr>
        <w:lastRenderedPageBreak/>
        <w:t xml:space="preserve">наставництво є ефективним. Модуль передбачає ознайомлення з різноманіттям форм та методів </w:t>
      </w:r>
      <w:proofErr w:type="spellStart"/>
      <w:r w:rsidRPr="00176A60">
        <w:rPr>
          <w:szCs w:val="28"/>
          <w:lang w:val="uk-UA"/>
        </w:rPr>
        <w:t>супервізії</w:t>
      </w:r>
      <w:proofErr w:type="spellEnd"/>
      <w:r w:rsidRPr="00176A60">
        <w:rPr>
          <w:szCs w:val="28"/>
          <w:lang w:val="uk-UA"/>
        </w:rPr>
        <w:t xml:space="preserve">. 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 xml:space="preserve">До модуля «Особистість та навички наставника» (14 годин) належать з’ясування основних ролей наставника, стилів взаємодії у </w:t>
      </w:r>
      <w:proofErr w:type="spellStart"/>
      <w:r w:rsidRPr="00176A60">
        <w:rPr>
          <w:szCs w:val="28"/>
          <w:lang w:val="uk-UA"/>
        </w:rPr>
        <w:t>супервізії</w:t>
      </w:r>
      <w:proofErr w:type="spellEnd"/>
      <w:r w:rsidRPr="00176A60">
        <w:rPr>
          <w:szCs w:val="28"/>
          <w:lang w:val="uk-UA"/>
        </w:rPr>
        <w:t xml:space="preserve">, мотивації допомоги у </w:t>
      </w:r>
      <w:proofErr w:type="spellStart"/>
      <w:r w:rsidRPr="00176A60">
        <w:rPr>
          <w:szCs w:val="28"/>
          <w:lang w:val="uk-UA"/>
        </w:rPr>
        <w:t>супервізії</w:t>
      </w:r>
      <w:proofErr w:type="spellEnd"/>
      <w:r w:rsidRPr="00176A60">
        <w:rPr>
          <w:szCs w:val="28"/>
          <w:lang w:val="uk-UA"/>
        </w:rPr>
        <w:t>, а також розвиток навичок активного слухання. У змісті модуля розглядаються питання надання зворотного зв</w:t>
      </w:r>
      <w:r w:rsidRPr="00176A60">
        <w:rPr>
          <w:szCs w:val="28"/>
        </w:rPr>
        <w:t>’</w:t>
      </w:r>
      <w:proofErr w:type="spellStart"/>
      <w:r w:rsidRPr="00176A60">
        <w:rPr>
          <w:szCs w:val="28"/>
          <w:lang w:val="uk-UA"/>
        </w:rPr>
        <w:t>язку</w:t>
      </w:r>
      <w:proofErr w:type="spellEnd"/>
      <w:r w:rsidRPr="00176A60">
        <w:rPr>
          <w:szCs w:val="28"/>
          <w:lang w:val="uk-UA"/>
        </w:rPr>
        <w:t xml:space="preserve"> у спостереженні за педагогом, запобігання емоційному вигоранню вчителя.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 xml:space="preserve">Модуль «Робочий процес наставництва» (16 годин) містить навчальні міні-модулі, зміст яких спрямований на розуміння етапів роботи наставника, знайомство зі складовими якісного викладання, розвиток навичок спостереження, апробування форм співпраці з вчителем зокрема практики спільного викладання. 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Модуль «Інсталяція роботи супервізора» (10 годин) містить навчальні міні-модулі, зміст яких передбачає з’ясування труднощів наставництва, аналіз бар’єрів у роботі,  вибір технології взаємодії супервізора з керівником закладу.</w:t>
      </w:r>
    </w:p>
    <w:p w:rsidR="00B912BF" w:rsidRPr="00176A60" w:rsidRDefault="00B912BF" w:rsidP="00B912BF">
      <w:pPr>
        <w:spacing w:line="288" w:lineRule="auto"/>
        <w:ind w:firstLine="600"/>
        <w:jc w:val="both"/>
        <w:rPr>
          <w:szCs w:val="28"/>
          <w:lang w:val="uk-UA"/>
        </w:rPr>
      </w:pPr>
      <w:r w:rsidRPr="00176A60">
        <w:rPr>
          <w:szCs w:val="28"/>
          <w:lang w:val="uk-UA"/>
        </w:rPr>
        <w:t>Модуль «Методичні аспекти навчання педагогів-супервізорів» (8 годин) містить навчальні міні-модулі, зміст яких передбачає з’ясування труднощів наставництва, аналіз бар’єрів у роботі,  вибір технології взаємодії супервізора з керівником закладу.</w:t>
      </w:r>
    </w:p>
    <w:p w:rsidR="000F6926" w:rsidRPr="00176A60" w:rsidRDefault="000F6926">
      <w:pPr>
        <w:rPr>
          <w:szCs w:val="28"/>
          <w:lang w:val="uk-UA"/>
        </w:rPr>
      </w:pPr>
      <w:bookmarkStart w:id="0" w:name="_GoBack"/>
      <w:bookmarkEnd w:id="0"/>
    </w:p>
    <w:sectPr w:rsidR="000F6926" w:rsidRPr="0017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AA0"/>
    <w:multiLevelType w:val="hybridMultilevel"/>
    <w:tmpl w:val="CD1C59CC"/>
    <w:lvl w:ilvl="0" w:tplc="73C0FD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07A72"/>
    <w:multiLevelType w:val="hybridMultilevel"/>
    <w:tmpl w:val="4F7A6EA8"/>
    <w:lvl w:ilvl="0" w:tplc="73C0FD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B22A7"/>
    <w:multiLevelType w:val="hybridMultilevel"/>
    <w:tmpl w:val="2A18554A"/>
    <w:lvl w:ilvl="0" w:tplc="F47E2CD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9"/>
    <w:rsid w:val="000F6926"/>
    <w:rsid w:val="00176A60"/>
    <w:rsid w:val="005703C9"/>
    <w:rsid w:val="00910DC5"/>
    <w:rsid w:val="00B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C5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C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C5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C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2020-08-13T19:39:00Z</dcterms:created>
  <dcterms:modified xsi:type="dcterms:W3CDTF">2020-08-13T19:44:00Z</dcterms:modified>
</cp:coreProperties>
</file>